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i w:val="0"/>
          <w:color w:val="2E74B5"/>
          <w:sz w:val="18"/>
        </w:rPr>
        <w:t>IN NEGOTIATION</w:t>
      </w:r>
    </w:p>
    <w:p>
      <w:pPr>
        <w:spacing w:after="80"/>
      </w:pPr>
      <w:r>
        <w:rPr>
          <w:rFonts w:ascii="Calibri" w:hAnsi="Calibri"/>
          <w:b/>
          <w:i w:val="0"/>
          <w:color w:val="000000"/>
          <w:sz w:val="46"/>
        </w:rPr>
        <w:t>Term Sheet - Commercial Real Estate Loan - Borrower Markup</w:t>
      </w:r>
    </w:p>
    <w:p>
      <w:pPr>
        <w:spacing w:after="320"/>
      </w:pPr>
      <w:r>
        <w:rPr>
          <w:rFonts w:ascii="Calibri" w:hAnsi="Calibri"/>
          <w:b w:val="0"/>
          <w:i w:val="0"/>
          <w:color w:val="5F6368"/>
          <w:sz w:val="24"/>
        </w:rPr>
        <w:t>Acme Bank and Harborview Logistics Holdings LLC | LOS-2026-Harborview | Draft, with borrower markup</w:t>
      </w:r>
    </w:p>
    <w:p>
      <w:pPr>
        <w:pStyle w:val="Heading2"/>
      </w:pPr>
      <w:r>
        <w:t>3. Interest rate</w:t>
      </w:r>
    </w:p>
    <w:p>
      <w:r>
        <w:rPr>
          <w:rFonts w:ascii="Calibri" w:hAnsi="Calibri"/>
          <w:b w:val="0"/>
          <w:i w:val="0"/>
          <w:color w:val="000000"/>
          <w:sz w:val="22"/>
        </w:rPr>
        <w:t>Fixed at 6.85% per annum for the term of the Loan, subject to the Bank's pricing floor of the greater of SOFR plus 2.75% and 6.50%.</w:t>
      </w:r>
    </w:p>
    <w:p>
      <w:r>
        <w:rPr>
          <w:rFonts w:ascii="Calibri" w:hAnsi="Calibri"/>
          <w:b/>
          <w:i w:val="0"/>
          <w:color w:val="B91C1C"/>
          <w:sz w:val="22"/>
        </w:rPr>
        <w:t>HARBORVIEW MARKUP: Borrower requests relationship pricing of 6.50% in recognition of its existing accounts with the Bank.</w:t>
      </w:r>
    </w:p>
    <w:p>
      <w:pPr>
        <w:pStyle w:val="Heading2"/>
      </w:pPr>
      <w:r>
        <w:t>6. Guaranty</w:t>
      </w:r>
    </w:p>
    <w:p>
      <w:r>
        <w:rPr>
          <w:rFonts w:ascii="Calibri" w:hAnsi="Calibri"/>
          <w:b w:val="0"/>
          <w:i w:val="0"/>
          <w:color w:val="000000"/>
          <w:sz w:val="22"/>
        </w:rPr>
        <w:t>Unlimited personal guaranty from each owner of twenty percent or more of the Borrower.</w:t>
      </w:r>
    </w:p>
    <w:p>
      <w:r>
        <w:rPr>
          <w:rFonts w:ascii="Calibri" w:hAnsi="Calibri"/>
          <w:b/>
          <w:i w:val="0"/>
          <w:color w:val="B91C1C"/>
          <w:sz w:val="22"/>
        </w:rPr>
        <w:t>HARBORVIEW MARKUP: Borrower proposes a limited guaranty from Jordan Pike and Renata Voss capped at $1,000,000 each, and no guaranty from Harborview Employee Holdings LP.</w:t>
      </w:r>
    </w:p>
    <w:p>
      <w:pPr>
        <w:pStyle w:val="Heading2"/>
      </w:pPr>
      <w:r>
        <w:t>8. Financial covenants</w:t>
      </w:r>
    </w:p>
    <w:p>
      <w:r>
        <w:rPr>
          <w:rFonts w:ascii="Calibri" w:hAnsi="Calibri"/>
          <w:b w:val="0"/>
          <w:i w:val="0"/>
          <w:color w:val="000000"/>
          <w:sz w:val="22"/>
        </w:rPr>
        <w:t>8.1 Loan-to-Value: the outstanding principal shall not exceed 75% of the appraised value of the Collateral, as determined under Schedule A. 8.2 Debt Service Coverage: not less than 1.25x, calculated and tested in the manner set out in Section 9.3.</w:t>
      </w:r>
    </w:p>
    <w:p>
      <w:r>
        <w:rPr>
          <w:rFonts w:ascii="Calibri" w:hAnsi="Calibri"/>
          <w:b w:val="0"/>
          <w:i/>
          <w:color w:val="5F6368"/>
          <w:sz w:val="20"/>
        </w:rPr>
        <w:t>No borrower markup in this section.</w:t>
      </w:r>
    </w:p>
    <w:p>
      <w:pPr>
        <w:pStyle w:val="Heading2"/>
      </w:pPr>
      <w:r>
        <w:t>9.3 Financial reporting</w:t>
      </w:r>
    </w:p>
    <w:p>
      <w:r>
        <w:rPr>
          <w:rFonts w:ascii="Calibri" w:hAnsi="Calibri"/>
          <w:b w:val="0"/>
          <w:i w:val="0"/>
          <w:color w:val="000000"/>
          <w:sz w:val="22"/>
        </w:rPr>
        <w:t>Annual reviewed financial statements within 120 days after fiscal year end and quarterly statements within 45 days after each quarter end, each with a compliance certificate calculating the Debt Service Coverage Ratio for the trailing twelve months. The ratio is tested quarterly.</w:t>
      </w:r>
    </w:p>
    <w:p>
      <w:r>
        <w:rPr>
          <w:rFonts w:ascii="Calibri" w:hAnsi="Calibri"/>
          <w:b/>
          <w:i w:val="0"/>
          <w:color w:val="B91C1C"/>
          <w:sz w:val="22"/>
        </w:rPr>
        <w:t>HARBORVIEW MARKUP: Borrower proposes annual delivery within 180 days after fiscal year end, consistent with the company's audit cycle, with the Debt Service Coverage Ratio calculated for the purposes of Section 8.2 on the annual statements at not less than 1.10x. Quarterly statements and quarterly testing are deleted.</w:t>
      </w:r>
    </w:p>
    <w:p>
      <w:pPr>
        <w:pStyle w:val="Heading2"/>
      </w:pPr>
      <w:r>
        <w:t>Schedule A - Collateral</w:t>
      </w:r>
    </w:p>
    <w:p>
      <w:r>
        <w:rPr>
          <w:rFonts w:ascii="Calibri" w:hAnsi="Calibri"/>
          <w:b w:val="0"/>
          <w:i w:val="0"/>
          <w:color w:val="000000"/>
          <w:sz w:val="22"/>
        </w:rPr>
        <w:t>The Real Property at 1200 Harbor Way, its improvements, fixtures, leases and rents. The appraised value for Section 8.1 is the as-is market value stated in the Bank-ordered appraisal. Furniture, trade fixtures, equipment, vehicles and inventory are excluded.</w:t>
      </w:r>
    </w:p>
    <w:p>
      <w:r>
        <w:rPr>
          <w:rFonts w:ascii="Calibri" w:hAnsi="Calibri"/>
          <w:b/>
          <w:i w:val="0"/>
          <w:color w:val="B91C1C"/>
          <w:sz w:val="22"/>
        </w:rPr>
        <w:t>HARBORVIEW MARKUP: The Collateral also includes all furniture, fixtures and equipment at the Real Property at net book value ($850,000), and that value is included in the appraised value of the Collateral for the purposes of Section 8.1, consistent with the collateral pool under the Borrower's 2025 equipment loan.</w:t>
      </w:r>
    </w:p>
    <w:p>
      <w:pPr>
        <w:pStyle w:val="Heading2"/>
      </w:pPr>
      <w:r>
        <w:t>Open items</w:t>
      </w:r>
    </w:p>
    <w:p>
      <w:r>
        <w:rPr>
          <w:rFonts w:ascii="Calibri" w:hAnsi="Calibri"/>
          <w:b w:val="0"/>
          <w:i/>
          <w:color w:val="5F6368"/>
          <w:sz w:val="20"/>
        </w:rPr>
        <w:t>Red text marks the borrower's proposed changes still under negotiation. This document is a draft in Word and is not a commitment to lend.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F6368"/>
        <w:sz w:val="16"/>
      </w:rPr>
      <w:t>Acme Bank | LOS-2026-Harborview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i w:val="0"/>
        <w:color w:val="5F6368"/>
        <w:sz w:val="18"/>
      </w:rPr>
      <w:t>LOS Term Sheet Markup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Harborview Term Sheet 2026 Markup</dc:title>
  <dc:subject>Box DocGen template for the Harborview LOS demo</dc:subject>
  <dc:creator>Acme Bank LOS Demo</dc:creator>
  <cp:keywords/>
  <dc:description>generated by python-docx</dc:description>
  <cp:lastModifiedBy/>
  <cp:revision>1</cp:revision>
  <dcterms:created xsi:type="dcterms:W3CDTF">2013-12-23T23:15:00Z</dcterms:created>
  <dcterms:modified xsi:type="dcterms:W3CDTF">2013-12-23T23:15:00Z</dcterms:modified>
  <cp:category/>
</cp:coreProperties>
</file>